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Welwyn Hatfield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Welwyn Hatfield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Welwyn Hatfield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Welwyn Hatfield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Welwyn Hatfield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Welwyn Hatfield are estimated to have a score of 1-2 on the PGSI (low-risk gambling), whilst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51.3% </w:t>
      </w:r>
      <w:r w:rsidRPr="004747BF">
        <w:rPr>
          <w:rFonts w:ascii="Libre Franklin Light" w:eastAsia="Times New Roman" w:hAnsi="Libre Franklin Light" w:cs="Calibri Light"/>
        </w:rPr>
        <w:t xml:space="preserve">of those respondents classified as PGSI 8+ in Welwyn Hatfield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Welwyn Hatfield is estimated to be </w:t>
      </w:r>
      <w:r w:rsidRPr="00773DF7">
        <w:rPr>
          <w:rFonts w:ascii="Libre Franklin Light" w:eastAsia="Times New Roman" w:hAnsi="Libre Franklin Light" w:cs="Calibri Light"/>
          <w:b/>
          <w:bCs/>
          <w:color w:val="C45911" w:themeColor="accent2" w:themeShade="BF"/>
        </w:rPr>
        <w:t xml:space="preserve">£3,152,556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Welwyn Hatfield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Welwyn Hatfield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Welwyn Hatfield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Welwyn Hatfield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lwyn Hatfie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Welwyn Hatfield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lwyn Hatfie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Welwyn Hatfield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39.0%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Welwyn Hatfield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51.3%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lwyn Hatfie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Welwyn Hatfield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31.7%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Welwyn Hatfield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Welwyn Hatfield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Welwyn Hatfield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Welwyn Hatfield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Welwyn Hatfield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£3,152,556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Welwyn Hatfield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£51,350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£1,061,946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£76,074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£21,396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£39,226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£1,902,564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£3,152,556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Welwyn Hatfield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Welwyn Hatfield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24.7%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Welwyn Hatfield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Welwyn Hatfield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Welwyn Hatfield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Welwyn Hatfield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Welwyn Hatfield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24.7%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Welwyn Hatfield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Welwyn Hatfield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21.3%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Welwyn Hatfield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Welwyn Hatfield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Welwyn Hatfield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384B9C2-F277-4784-972A-22BF6CC7F4B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